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notabilis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N.S.W. specimen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