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aspera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densifolia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2:347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 (following Fl. Austral. 1: 591, 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aspera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aspera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strigosa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