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Northern Territory;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abbreviata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amanda</w:t>
      </w:r>
      <w:r>
        <w:t xml:space="preserve"> G.J.Leach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amentifera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arafurica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brockii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cataractae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conspersa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convallium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desmondii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dolichophylla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echinuliflora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equisetifolia</w:t>
      </w:r>
      <w:r>
        <w:t xml:space="preserve"> Maslin &amp; Cowie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filipes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gracilenta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helicophylla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lacertensis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linarioides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mimula</w:t>
      </w:r>
      <w:r>
        <w:t xml:space="preserve"> Pedley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mountfordiae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multistipulosa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nicholsonensis</w:t>
      </w:r>
      <w:r>
        <w:t xml:space="preserve"> Cuff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praelongata</w:t>
      </w:r>
      <w:r>
        <w:t xml:space="preserve"> F.Muell.</w:t>
      </w:r>
      <w:r>
        <w:t xml:space="preserve"> (1883)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praetermissa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producta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proiantha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rigescens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scopulorum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sericoflora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sublanata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subternata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tolmerensis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undoolyana</w:t>
      </w:r>
      <w:r>
        <w:t xml:space="preserve"> G.J.Leach</w:t>
      </w:r>
      <w:r>
        <w:t xml:space="preserve"> (1988)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yirrkallensis</w:t>
      </w:r>
      <w:r>
        <w:t xml:space="preserve"> Specht</w:t>
      </w:r>
      <w:r>
        <w:t xml:space="preserve"> (1958)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